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EA" w:rsidRPr="00B220EF" w:rsidRDefault="00B220EF" w:rsidP="005E2D69">
      <w:pPr>
        <w:numPr>
          <w:ilvl w:val="0"/>
          <w:numId w:val="6"/>
        </w:numPr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B220EF">
        <w:rPr>
          <w:rFonts w:ascii="Arial" w:hAnsi="Arial" w:cs="Arial"/>
          <w:sz w:val="22"/>
          <w:szCs w:val="22"/>
        </w:rPr>
        <w:t xml:space="preserve">The </w:t>
      </w:r>
      <w:r w:rsidRPr="00B220EF">
        <w:rPr>
          <w:rFonts w:ascii="Arial" w:hAnsi="Arial" w:cs="Arial"/>
          <w:i/>
          <w:sz w:val="22"/>
          <w:szCs w:val="22"/>
        </w:rPr>
        <w:t>Quarterly Public Hospitals Performance Report</w:t>
      </w:r>
      <w:r w:rsidRPr="00B220EF">
        <w:rPr>
          <w:rFonts w:ascii="Arial" w:hAnsi="Arial" w:cs="Arial"/>
          <w:sz w:val="22"/>
          <w:szCs w:val="22"/>
        </w:rPr>
        <w:t xml:space="preserve"> provides an overview of </w:t>
      </w:r>
      <w:smartTag w:uri="urn:schemas-microsoft-com:office:smarttags" w:element="State">
        <w:smartTag w:uri="urn:schemas-microsoft-com:office:smarttags" w:element="place">
          <w:r w:rsidRPr="00B220E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220EF">
        <w:rPr>
          <w:rFonts w:ascii="Arial" w:hAnsi="Arial" w:cs="Arial"/>
          <w:sz w:val="22"/>
          <w:szCs w:val="22"/>
        </w:rPr>
        <w:t xml:space="preserve"> public hospitals including: inpatient activity, elective surgery waiting times, emergency department presentations and staffing.</w:t>
      </w:r>
      <w:r>
        <w:t xml:space="preserve">  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D1A70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Hospital Activity 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 xml:space="preserve">During the December quarter 2009, there were 228,203 admitted patient episodes of care, a 3.7% increase from the same quarter of 2008. 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sz w:val="22"/>
          <w:szCs w:val="22"/>
          <w:u w:val="single"/>
        </w:rPr>
      </w:pPr>
      <w:r w:rsidRPr="005D1A70">
        <w:rPr>
          <w:rFonts w:ascii="Arial" w:hAnsi="Arial" w:cs="Arial"/>
          <w:i/>
          <w:sz w:val="22"/>
          <w:szCs w:val="22"/>
          <w:u w:val="single"/>
        </w:rPr>
        <w:t xml:space="preserve">Elective Surgery Performance </w:t>
      </w:r>
    </w:p>
    <w:p w:rsidR="00C061EA" w:rsidRPr="005D1A70" w:rsidRDefault="00C061EA" w:rsidP="00C061EA">
      <w:pPr>
        <w:numPr>
          <w:ilvl w:val="0"/>
          <w:numId w:val="6"/>
        </w:num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 xml:space="preserve">During the December quarter 2009, 30,231 elective surgery patients were treated in </w:t>
      </w:r>
      <w:smartTag w:uri="urn:schemas-microsoft-com:office:smarttags" w:element="State">
        <w:smartTag w:uri="urn:schemas-microsoft-com:office:smarttags" w:element="place">
          <w:r w:rsidRPr="005D1A70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  <w:r w:rsidRPr="005D1A70">
        <w:rPr>
          <w:rFonts w:ascii="Arial" w:hAnsi="Arial" w:cs="Arial"/>
          <w:color w:val="000000"/>
          <w:sz w:val="22"/>
          <w:szCs w:val="22"/>
        </w:rPr>
        <w:t xml:space="preserve"> public hospitals, a 3.8% increase on the 29,134 patients treated in the December quarter 2008.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 xml:space="preserve">In addition, the Surgery Connect program facilitated the treatment of 1,080 patients, resulting in a total of 31,311 elective surgery patients treated in </w:t>
      </w:r>
      <w:smartTag w:uri="urn:schemas-microsoft-com:office:smarttags" w:element="State">
        <w:smartTag w:uri="urn:schemas-microsoft-com:office:smarttags" w:element="place">
          <w:r w:rsidRPr="005D1A70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  <w:r w:rsidRPr="005D1A70">
        <w:rPr>
          <w:rFonts w:ascii="Arial" w:hAnsi="Arial" w:cs="Arial"/>
          <w:color w:val="000000"/>
          <w:sz w:val="22"/>
          <w:szCs w:val="22"/>
        </w:rPr>
        <w:t xml:space="preserve"> during the December quarter 2009, a 2.3% increase on the same quarter of 2008.  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D1A70">
        <w:rPr>
          <w:rFonts w:ascii="Arial" w:hAnsi="Arial" w:cs="Arial"/>
          <w:i/>
          <w:color w:val="000000"/>
          <w:sz w:val="22"/>
          <w:szCs w:val="22"/>
          <w:u w:val="single"/>
        </w:rPr>
        <w:t>Emergency Department Performance</w:t>
      </w:r>
    </w:p>
    <w:p w:rsidR="00C061EA" w:rsidRPr="005D1A70" w:rsidRDefault="00C061EA" w:rsidP="00C061EA">
      <w:pPr>
        <w:numPr>
          <w:ilvl w:val="0"/>
          <w:numId w:val="6"/>
        </w:numPr>
        <w:tabs>
          <w:tab w:val="num" w:pos="426"/>
        </w:tabs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 xml:space="preserve">During the December quarter 2009 there were 279,700 emergency department presentations in </w:t>
      </w:r>
      <w:smartTag w:uri="urn:schemas-microsoft-com:office:smarttags" w:element="State">
        <w:smartTag w:uri="urn:schemas-microsoft-com:office:smarttags" w:element="place">
          <w:r w:rsidRPr="005D1A70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  <w:r w:rsidRPr="005D1A70">
        <w:rPr>
          <w:rFonts w:ascii="Arial" w:hAnsi="Arial" w:cs="Arial"/>
          <w:color w:val="000000"/>
          <w:sz w:val="22"/>
          <w:szCs w:val="22"/>
        </w:rPr>
        <w:t xml:space="preserve">’s 27 largest hospitals, an increase of 8,891 presentations (3.3%) compared with the December 2008 quarter (270,809). 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>Despite the increase in demand, waiting times performance has remained stable in the December quarter 2009, compared with the December quarter 2009, with 65% of patients seen within the clinically recommended time.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D1A70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Access Block 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>Access block performance - the proportion of emergency department patients, requiring admission to an inpatient bed, who are admitted within eight hours - improved during the December quarter 2009 (68% of patients admitted within 8 hours of arrival at the emergency department) compared with the December quarter 2008 (66%) and the September quarter 2009 (64%).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D1A70">
        <w:rPr>
          <w:rFonts w:ascii="Arial" w:hAnsi="Arial" w:cs="Arial"/>
          <w:i/>
          <w:color w:val="000000"/>
          <w:sz w:val="22"/>
          <w:szCs w:val="22"/>
          <w:u w:val="single"/>
        </w:rPr>
        <w:t>Off-Stretcher times</w:t>
      </w:r>
    </w:p>
    <w:p w:rsidR="00C061EA" w:rsidRPr="005D1A70" w:rsidRDefault="00C061EA" w:rsidP="00C061EA">
      <w:pPr>
        <w:numPr>
          <w:ilvl w:val="0"/>
          <w:numId w:val="6"/>
        </w:numPr>
        <w:tabs>
          <w:tab w:val="num" w:pos="426"/>
        </w:tabs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 xml:space="preserve"> “Off-stretcher” time performance - the percent of patients transferred off an ambulance stretcher to the emergency department within 30 minutes - is included in the Quarterly Public Hospitals Performance Report - December quarter 2009 for the first time. 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D1A70">
        <w:rPr>
          <w:rFonts w:ascii="Arial" w:hAnsi="Arial" w:cs="Arial"/>
          <w:color w:val="000000"/>
          <w:sz w:val="22"/>
          <w:szCs w:val="22"/>
        </w:rPr>
        <w:t>In the December quarter 2009, 89% of ambulance arrivals were transferred off-stretcher within 30 minutes, an improvement from 86% in the September quarter 2009</w:t>
      </w:r>
      <w:r>
        <w:rPr>
          <w:rFonts w:ascii="Arial" w:hAnsi="Arial" w:cs="Arial"/>
          <w:color w:val="000000"/>
          <w:sz w:val="22"/>
          <w:szCs w:val="22"/>
        </w:rPr>
        <w:t>, but a decrease in performance from 91% in the December quarter 2008</w:t>
      </w:r>
      <w:r w:rsidRPr="005D1A70">
        <w:rPr>
          <w:rFonts w:ascii="Arial" w:hAnsi="Arial" w:cs="Arial"/>
          <w:color w:val="000000"/>
          <w:sz w:val="22"/>
          <w:szCs w:val="22"/>
        </w:rPr>
        <w:t>.</w:t>
      </w:r>
    </w:p>
    <w:p w:rsidR="00C061EA" w:rsidRPr="005D1A70" w:rsidRDefault="00C061EA" w:rsidP="00C061EA">
      <w:pPr>
        <w:spacing w:before="60" w:after="60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5D1A70">
        <w:rPr>
          <w:rFonts w:ascii="Arial" w:hAnsi="Arial" w:cs="Arial"/>
          <w:i/>
          <w:color w:val="000000"/>
          <w:sz w:val="22"/>
          <w:szCs w:val="22"/>
          <w:u w:val="single"/>
        </w:rPr>
        <w:t>Radiation Treatment Times</w:t>
      </w:r>
    </w:p>
    <w:p w:rsidR="00C061EA" w:rsidRPr="005D1A70" w:rsidRDefault="00C061EA" w:rsidP="00C061EA">
      <w:pPr>
        <w:pStyle w:val="BodyText"/>
        <w:numPr>
          <w:ilvl w:val="0"/>
          <w:numId w:val="6"/>
        </w:numPr>
        <w:tabs>
          <w:tab w:val="num" w:pos="426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r w:rsidRPr="005D1A70">
        <w:rPr>
          <w:rFonts w:ascii="Arial" w:hAnsi="Arial" w:cs="Arial"/>
          <w:sz w:val="22"/>
          <w:szCs w:val="22"/>
        </w:rPr>
        <w:t xml:space="preserve">The Mater Centre and </w:t>
      </w:r>
      <w:smartTag w:uri="urn:schemas-microsoft-com:office:smarttags" w:element="place">
        <w:smartTag w:uri="urn:schemas-microsoft-com:office:smarttags" w:element="PlaceName">
          <w:r w:rsidRPr="005D1A70">
            <w:rPr>
              <w:rFonts w:ascii="Arial" w:hAnsi="Arial" w:cs="Arial"/>
              <w:sz w:val="22"/>
              <w:szCs w:val="22"/>
            </w:rPr>
            <w:t>Princess</w:t>
          </w:r>
        </w:smartTag>
        <w:r w:rsidRPr="005D1A7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5D1A70">
            <w:rPr>
              <w:rFonts w:ascii="Arial" w:hAnsi="Arial" w:cs="Arial"/>
              <w:sz w:val="22"/>
              <w:szCs w:val="22"/>
            </w:rPr>
            <w:t>Alexandra</w:t>
          </w:r>
        </w:smartTag>
        <w:r w:rsidRPr="005D1A7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5D1A70">
            <w:rPr>
              <w:rFonts w:ascii="Arial" w:hAnsi="Arial" w:cs="Arial"/>
              <w:sz w:val="22"/>
              <w:szCs w:val="22"/>
            </w:rPr>
            <w:t>Hospital</w:t>
          </w:r>
        </w:smartTag>
      </w:smartTag>
      <w:r w:rsidRPr="005D1A70">
        <w:rPr>
          <w:rFonts w:ascii="Arial" w:hAnsi="Arial" w:cs="Arial"/>
          <w:sz w:val="22"/>
          <w:szCs w:val="22"/>
        </w:rPr>
        <w:t xml:space="preserve"> report an average delay to access radiation treatment within the maximum acceptable waiting time, for categories 2 and 3. </w:t>
      </w:r>
    </w:p>
    <w:p w:rsidR="00C061EA" w:rsidRDefault="00C061EA" w:rsidP="005E2D69">
      <w:pPr>
        <w:pStyle w:val="BodyText"/>
        <w:numPr>
          <w:ilvl w:val="0"/>
          <w:numId w:val="6"/>
        </w:numPr>
        <w:tabs>
          <w:tab w:val="num" w:pos="426"/>
        </w:tabs>
        <w:spacing w:after="60"/>
        <w:ind w:left="426" w:hanging="426"/>
        <w:rPr>
          <w:rFonts w:ascii="Arial" w:hAnsi="Arial" w:cs="Arial"/>
          <w:sz w:val="22"/>
          <w:szCs w:val="22"/>
        </w:rPr>
      </w:pPr>
      <w:r w:rsidRPr="005D1A70">
        <w:rPr>
          <w:rFonts w:ascii="Arial" w:hAnsi="Arial" w:cs="Arial"/>
          <w:sz w:val="22"/>
          <w:szCs w:val="22"/>
        </w:rPr>
        <w:t>Whilst the average delay to access radiation trea</w:t>
      </w:r>
      <w:r>
        <w:rPr>
          <w:rFonts w:ascii="Arial" w:hAnsi="Arial" w:cs="Arial"/>
          <w:sz w:val="22"/>
          <w:szCs w:val="22"/>
        </w:rPr>
        <w:t xml:space="preserve">tment at Townsville Hospital remains </w:t>
      </w:r>
      <w:r w:rsidRPr="005D1A70">
        <w:rPr>
          <w:rFonts w:ascii="Arial" w:hAnsi="Arial" w:cs="Arial"/>
          <w:sz w:val="22"/>
          <w:szCs w:val="22"/>
        </w:rPr>
        <w:t>above the maximum waiting time, Townsville Hospital has reported a decrease in delay to treatment compared with the September quarter 2009 for both category 2 (from 17 to 15 days) and category 3 (from 27 to 24 days).</w:t>
      </w:r>
    </w:p>
    <w:p w:rsidR="00C061EA" w:rsidRPr="005D1A70" w:rsidRDefault="00C061EA" w:rsidP="005E2D69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695361">
        <w:rPr>
          <w:rFonts w:ascii="Arial" w:hAnsi="Arial" w:cs="Arial"/>
          <w:sz w:val="22"/>
          <w:szCs w:val="22"/>
        </w:rPr>
        <w:t xml:space="preserve">RBWH reported an increase in the average delay to treatment compared with the September quarter 2009 for categories 2 and 3 - from </w:t>
      </w:r>
      <w:smartTag w:uri="urn:schemas-microsoft-com:office:smarttags" w:element="time">
        <w:smartTagPr>
          <w:attr w:name="Minute" w:val="0"/>
          <w:attr w:name="Hour" w:val="8"/>
        </w:smartTagPr>
        <w:r w:rsidRPr="00695361">
          <w:rPr>
            <w:rFonts w:ascii="Arial" w:hAnsi="Arial" w:cs="Arial"/>
            <w:sz w:val="22"/>
            <w:szCs w:val="22"/>
          </w:rPr>
          <w:t>8</w:t>
        </w:r>
      </w:smartTag>
      <w:r w:rsidRPr="00695361">
        <w:rPr>
          <w:rFonts w:ascii="Arial" w:hAnsi="Arial" w:cs="Arial"/>
          <w:sz w:val="22"/>
          <w:szCs w:val="22"/>
        </w:rPr>
        <w:t xml:space="preserve"> to 19 days in category 2 and from 16 to 26 days in category 3, outside the acceptable delay for both categories</w:t>
      </w:r>
      <w:r>
        <w:rPr>
          <w:rFonts w:ascii="Arial" w:hAnsi="Arial" w:cs="Arial"/>
          <w:sz w:val="22"/>
          <w:szCs w:val="22"/>
        </w:rPr>
        <w:t xml:space="preserve">. </w:t>
      </w:r>
      <w:r w:rsidRPr="00695361">
        <w:rPr>
          <w:rFonts w:ascii="Arial" w:hAnsi="Arial" w:cs="Arial"/>
          <w:sz w:val="22"/>
          <w:szCs w:val="22"/>
        </w:rPr>
        <w:t xml:space="preserve">   </w:t>
      </w:r>
    </w:p>
    <w:p w:rsidR="00C061EA" w:rsidRPr="005D1A70" w:rsidRDefault="00C061EA" w:rsidP="00C061EA">
      <w:pPr>
        <w:numPr>
          <w:ilvl w:val="0"/>
          <w:numId w:val="6"/>
        </w:numPr>
        <w:spacing w:after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D1A70">
        <w:rPr>
          <w:rFonts w:ascii="Arial" w:hAnsi="Arial" w:cs="Arial"/>
          <w:sz w:val="22"/>
          <w:szCs w:val="22"/>
          <w:u w:val="single"/>
        </w:rPr>
        <w:t>Cabinet endorsed</w:t>
      </w:r>
      <w:r w:rsidRPr="005D1A70">
        <w:rPr>
          <w:rFonts w:ascii="Arial" w:hAnsi="Arial" w:cs="Arial"/>
          <w:sz w:val="22"/>
          <w:szCs w:val="22"/>
        </w:rPr>
        <w:t xml:space="preserve"> the release of the Quarterly Public Hospitals Performance Report – December Quarter 2009.</w:t>
      </w:r>
    </w:p>
    <w:p w:rsidR="00C061EA" w:rsidRPr="005D1A70" w:rsidRDefault="00C061EA" w:rsidP="005E2D69">
      <w:pPr>
        <w:keepNext/>
        <w:numPr>
          <w:ilvl w:val="0"/>
          <w:numId w:val="6"/>
        </w:numPr>
        <w:spacing w:before="240"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D1A7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B545C" w:rsidRPr="00B220EF" w:rsidRDefault="0003643F" w:rsidP="00B220EF">
      <w:pPr>
        <w:numPr>
          <w:ilvl w:val="0"/>
          <w:numId w:val="8"/>
        </w:numPr>
        <w:tabs>
          <w:tab w:val="num" w:pos="280"/>
        </w:tabs>
        <w:spacing w:after="60"/>
        <w:ind w:left="811"/>
        <w:rPr>
          <w:vanish/>
        </w:rPr>
      </w:pPr>
      <w:hyperlink r:id="rId7" w:history="1">
        <w:r w:rsidR="00C061EA" w:rsidRPr="0055423D">
          <w:rPr>
            <w:rStyle w:val="Hyperlink"/>
            <w:rFonts w:ascii="Arial" w:hAnsi="Arial" w:cs="Arial"/>
            <w:sz w:val="22"/>
            <w:szCs w:val="22"/>
          </w:rPr>
          <w:t>Quarterly Public Hospitals Performance Report – December Quarter 2009</w:t>
        </w:r>
      </w:hyperlink>
    </w:p>
    <w:sectPr w:rsidR="000B545C" w:rsidRPr="00B220EF" w:rsidSect="005E2D69">
      <w:headerReference w:type="default" r:id="rId8"/>
      <w:pgSz w:w="11907" w:h="16840" w:code="9"/>
      <w:pgMar w:top="1985" w:right="1134" w:bottom="426" w:left="1134" w:header="851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6C" w:rsidRDefault="00CF616C">
      <w:r>
        <w:separator/>
      </w:r>
    </w:p>
  </w:endnote>
  <w:endnote w:type="continuationSeparator" w:id="0">
    <w:p w:rsidR="00CF616C" w:rsidRDefault="00CF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6C" w:rsidRDefault="00CF616C">
      <w:r>
        <w:separator/>
      </w:r>
    </w:p>
  </w:footnote>
  <w:footnote w:type="continuationSeparator" w:id="0">
    <w:p w:rsidR="00CF616C" w:rsidRDefault="00CF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69" w:rsidRPr="000400F9" w:rsidRDefault="00D50CF9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D6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E2D69">
      <w:rPr>
        <w:rFonts w:ascii="Arial" w:hAnsi="Arial" w:cs="Arial"/>
        <w:b/>
        <w:sz w:val="22"/>
        <w:szCs w:val="22"/>
        <w:u w:val="single"/>
      </w:rPr>
      <w:t xml:space="preserve">February 2010 </w:t>
    </w:r>
  </w:p>
  <w:p w:rsidR="005E2D69" w:rsidRPr="0051472A" w:rsidRDefault="005E2D69" w:rsidP="005E2D69">
    <w:pPr>
      <w:pStyle w:val="Header"/>
      <w:tabs>
        <w:tab w:val="clear" w:pos="4153"/>
        <w:tab w:val="clear" w:pos="830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51472A">
      <w:rPr>
        <w:rFonts w:ascii="Arial" w:hAnsi="Arial" w:cs="Arial"/>
        <w:b/>
        <w:sz w:val="22"/>
        <w:szCs w:val="22"/>
        <w:u w:val="single"/>
      </w:rPr>
      <w:t>Quarterly Public Hospitals Performance Report – December Quarter 2009</w:t>
    </w:r>
  </w:p>
  <w:p w:rsidR="005E2D69" w:rsidRDefault="005E2D69" w:rsidP="003142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Health</w:t>
    </w:r>
  </w:p>
  <w:p w:rsidR="005E2D69" w:rsidRPr="00F10DF9" w:rsidRDefault="005E2D69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2B4"/>
    <w:multiLevelType w:val="multilevel"/>
    <w:tmpl w:val="0C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3643F"/>
    <w:rsid w:val="000400F9"/>
    <w:rsid w:val="000B545C"/>
    <w:rsid w:val="001141E1"/>
    <w:rsid w:val="00133013"/>
    <w:rsid w:val="00133A34"/>
    <w:rsid w:val="00160524"/>
    <w:rsid w:val="00174E50"/>
    <w:rsid w:val="00254E35"/>
    <w:rsid w:val="0028053C"/>
    <w:rsid w:val="002A2776"/>
    <w:rsid w:val="002F57E4"/>
    <w:rsid w:val="0031344E"/>
    <w:rsid w:val="003142AF"/>
    <w:rsid w:val="00314FEB"/>
    <w:rsid w:val="0032048B"/>
    <w:rsid w:val="00346156"/>
    <w:rsid w:val="00382380"/>
    <w:rsid w:val="003A269C"/>
    <w:rsid w:val="003A2E0F"/>
    <w:rsid w:val="003A3126"/>
    <w:rsid w:val="003C3732"/>
    <w:rsid w:val="00435BE5"/>
    <w:rsid w:val="0048019C"/>
    <w:rsid w:val="00486A99"/>
    <w:rsid w:val="00493EC6"/>
    <w:rsid w:val="004E6C38"/>
    <w:rsid w:val="0051472A"/>
    <w:rsid w:val="0055423D"/>
    <w:rsid w:val="00562AE4"/>
    <w:rsid w:val="0056401D"/>
    <w:rsid w:val="00593EC5"/>
    <w:rsid w:val="005B1D9B"/>
    <w:rsid w:val="005C224F"/>
    <w:rsid w:val="005E2D69"/>
    <w:rsid w:val="006100CC"/>
    <w:rsid w:val="00641D18"/>
    <w:rsid w:val="00644076"/>
    <w:rsid w:val="006614B5"/>
    <w:rsid w:val="006631CF"/>
    <w:rsid w:val="00682036"/>
    <w:rsid w:val="006B3B54"/>
    <w:rsid w:val="006D0869"/>
    <w:rsid w:val="006E6713"/>
    <w:rsid w:val="007060D7"/>
    <w:rsid w:val="00710AAE"/>
    <w:rsid w:val="00726F36"/>
    <w:rsid w:val="00796B3E"/>
    <w:rsid w:val="007A10F8"/>
    <w:rsid w:val="007A25F4"/>
    <w:rsid w:val="007A6599"/>
    <w:rsid w:val="007D3B9D"/>
    <w:rsid w:val="007F52D6"/>
    <w:rsid w:val="0081533B"/>
    <w:rsid w:val="0082040E"/>
    <w:rsid w:val="00845D3E"/>
    <w:rsid w:val="00873F7B"/>
    <w:rsid w:val="008A5F1B"/>
    <w:rsid w:val="008B7E17"/>
    <w:rsid w:val="008C3732"/>
    <w:rsid w:val="008F44CD"/>
    <w:rsid w:val="009203D5"/>
    <w:rsid w:val="00922A5B"/>
    <w:rsid w:val="009D0C12"/>
    <w:rsid w:val="009F5476"/>
    <w:rsid w:val="00A20C0E"/>
    <w:rsid w:val="00A30F55"/>
    <w:rsid w:val="00A354FF"/>
    <w:rsid w:val="00A527A5"/>
    <w:rsid w:val="00A55EF3"/>
    <w:rsid w:val="00AA128C"/>
    <w:rsid w:val="00AB0F12"/>
    <w:rsid w:val="00AB6637"/>
    <w:rsid w:val="00AE1995"/>
    <w:rsid w:val="00B220EF"/>
    <w:rsid w:val="00B40BDF"/>
    <w:rsid w:val="00B851E1"/>
    <w:rsid w:val="00C061EA"/>
    <w:rsid w:val="00C07656"/>
    <w:rsid w:val="00C805EC"/>
    <w:rsid w:val="00C85B71"/>
    <w:rsid w:val="00CE6FBA"/>
    <w:rsid w:val="00CF616C"/>
    <w:rsid w:val="00D50CF9"/>
    <w:rsid w:val="00D54601"/>
    <w:rsid w:val="00DB08AF"/>
    <w:rsid w:val="00DD3CD5"/>
    <w:rsid w:val="00DD497C"/>
    <w:rsid w:val="00DF4650"/>
    <w:rsid w:val="00E463C2"/>
    <w:rsid w:val="00EA00BF"/>
    <w:rsid w:val="00EE701C"/>
    <w:rsid w:val="00F10DF9"/>
    <w:rsid w:val="00F756F8"/>
    <w:rsid w:val="00FB53D2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61EA"/>
    <w:pPr>
      <w:keepNext/>
      <w:numPr>
        <w:numId w:val="12"/>
      </w:numPr>
      <w:jc w:val="both"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qFormat/>
    <w:rsid w:val="00C061EA"/>
    <w:pPr>
      <w:keepNext/>
      <w:numPr>
        <w:ilvl w:val="1"/>
        <w:numId w:val="12"/>
      </w:numPr>
      <w:jc w:val="both"/>
      <w:outlineLvl w:val="1"/>
    </w:pPr>
    <w:rPr>
      <w:noProof/>
      <w:szCs w:val="20"/>
    </w:rPr>
  </w:style>
  <w:style w:type="paragraph" w:styleId="Heading3">
    <w:name w:val="heading 3"/>
    <w:basedOn w:val="Normal"/>
    <w:next w:val="Normal"/>
    <w:qFormat/>
    <w:rsid w:val="00C061EA"/>
    <w:pPr>
      <w:keepNext/>
      <w:numPr>
        <w:ilvl w:val="2"/>
        <w:numId w:val="12"/>
      </w:numPr>
      <w:jc w:val="both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C061EA"/>
    <w:pPr>
      <w:keepNext/>
      <w:numPr>
        <w:ilvl w:val="3"/>
        <w:numId w:val="12"/>
      </w:numPr>
      <w:jc w:val="right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C061EA"/>
    <w:pPr>
      <w:keepNext/>
      <w:numPr>
        <w:ilvl w:val="4"/>
        <w:numId w:val="12"/>
      </w:numPr>
      <w:jc w:val="center"/>
      <w:outlineLvl w:val="4"/>
    </w:pPr>
    <w:rPr>
      <w:b/>
      <w:szCs w:val="20"/>
      <w:u w:val="single"/>
    </w:rPr>
  </w:style>
  <w:style w:type="paragraph" w:styleId="Heading7">
    <w:name w:val="heading 7"/>
    <w:basedOn w:val="Normal"/>
    <w:next w:val="Normal"/>
    <w:qFormat/>
    <w:rsid w:val="00C061EA"/>
    <w:pPr>
      <w:numPr>
        <w:ilvl w:val="6"/>
        <w:numId w:val="12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rsid w:val="00C061EA"/>
    <w:pPr>
      <w:numPr>
        <w:ilvl w:val="7"/>
        <w:numId w:val="12"/>
      </w:numPr>
      <w:spacing w:before="240" w:after="60"/>
      <w:jc w:val="both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styleId="BodyText">
    <w:name w:val="Body Text"/>
    <w:basedOn w:val="Normal"/>
    <w:rsid w:val="00C061EA"/>
    <w:pPr>
      <w:spacing w:after="240"/>
      <w:jc w:val="both"/>
    </w:pPr>
    <w:rPr>
      <w:szCs w:val="20"/>
    </w:rPr>
  </w:style>
  <w:style w:type="paragraph" w:customStyle="1" w:styleId="CharChar1">
    <w:name w:val="Char Char1"/>
    <w:basedOn w:val="Normal"/>
    <w:rsid w:val="00C061EA"/>
    <w:pPr>
      <w:spacing w:before="60" w:after="60"/>
    </w:pPr>
    <w:rPr>
      <w:rFonts w:ascii="Arial" w:hAnsi="Arial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ecember%20-%202009%20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DG\PMS\COMMON\Proactive%20release%20Cabinet%20Material\Decision%20Summary%20Template%20v1.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v1.1.dot</Template>
  <TotalTime>0</TotalTime>
  <Pages>1</Pages>
  <Words>478</Words>
  <Characters>2682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3157</CharactersWithSpaces>
  <SharedDoc>false</SharedDoc>
  <HyperlinkBase>https://www.cabinet.qld.gov.au/documents/2010/Feb/Qtrly Hospital Report Dec 09/</HyperlinkBase>
  <HLinks>
    <vt:vector size="6" baseType="variant">
      <vt:variant>
        <vt:i4>3407930</vt:i4>
      </vt:variant>
      <vt:variant>
        <vt:i4>0</vt:i4>
      </vt:variant>
      <vt:variant>
        <vt:i4>0</vt:i4>
      </vt:variant>
      <vt:variant>
        <vt:i4>5</vt:i4>
      </vt:variant>
      <vt:variant>
        <vt:lpwstr>Attachments/December - 2009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Health</cp:keywords>
  <cp:lastModifiedBy/>
  <cp:revision>2</cp:revision>
  <cp:lastPrinted>2010-10-08T10:38:00Z</cp:lastPrinted>
  <dcterms:created xsi:type="dcterms:W3CDTF">2017-10-24T22:19:00Z</dcterms:created>
  <dcterms:modified xsi:type="dcterms:W3CDTF">2018-03-06T01:02:00Z</dcterms:modified>
  <cp:category>Health,Hospitals</cp:category>
</cp:coreProperties>
</file>